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D5" w:rsidRPr="006030D5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40"/>
          <w:szCs w:val="40"/>
          <w:u w:val="single"/>
        </w:rPr>
      </w:pPr>
      <w:r w:rsidRPr="006030D5">
        <w:rPr>
          <w:rFonts w:ascii="ArnoPro-Bold" w:hAnsi="ArnoPro-Bold" w:cs="ArnoPro-Bol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77D74CE" wp14:editId="12F6B81D">
            <wp:simplePos x="0" y="0"/>
            <wp:positionH relativeFrom="column">
              <wp:posOffset>5356041</wp:posOffset>
            </wp:positionH>
            <wp:positionV relativeFrom="paragraph">
              <wp:posOffset>-545910</wp:posOffset>
            </wp:positionV>
            <wp:extent cx="983580" cy="90075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3" cy="9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0D5">
        <w:rPr>
          <w:rFonts w:ascii="ArnoPro-Bold" w:hAnsi="ArnoPro-Bold" w:cs="ArnoPro-Bold"/>
          <w:b/>
          <w:bCs/>
          <w:sz w:val="40"/>
          <w:szCs w:val="40"/>
          <w:u w:val="single"/>
        </w:rPr>
        <w:t xml:space="preserve">What is a Certified Distressed Property Expert? </w:t>
      </w:r>
    </w:p>
    <w:p w:rsidR="006030D5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2"/>
          <w:szCs w:val="32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2"/>
          <w:szCs w:val="32"/>
        </w:rPr>
      </w:pPr>
    </w:p>
    <w:p w:rsidR="006030D5" w:rsidRPr="004E6DB6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6"/>
          <w:szCs w:val="36"/>
        </w:rPr>
      </w:pPr>
      <w:r w:rsidRPr="004E6DB6">
        <w:rPr>
          <w:rFonts w:ascii="ArnoPro-Bold" w:hAnsi="ArnoPro-Bold" w:cs="ArnoPro-Bold"/>
          <w:b/>
          <w:bCs/>
          <w:sz w:val="36"/>
          <w:szCs w:val="36"/>
        </w:rPr>
        <w:t>Certified Distressed Property Experts are real estate agents who are trained to help homeowners facing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mortgage-payment hardship in today’s market. A CDPE’s primary focus isn’t on completing a real estate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transaction. It’s on finding the best solution to an individual homeowner’s unique situation. Among the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options a CDPE is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t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rained to assist with are short sales, deeds-in-lieu, mortgage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m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odifications, forbearance,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refinances, reinstatements, or, if unavoidable, the foreclosure process.*</w:t>
      </w:r>
    </w:p>
    <w:p w:rsidR="006030D5" w:rsidRPr="004E6DB6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6"/>
          <w:szCs w:val="36"/>
        </w:rPr>
      </w:pPr>
    </w:p>
    <w:p w:rsidR="006030D5" w:rsidRPr="004E6DB6" w:rsidRDefault="006030D5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6"/>
          <w:szCs w:val="36"/>
        </w:rPr>
      </w:pPr>
      <w:r w:rsidRPr="004E6DB6">
        <w:rPr>
          <w:rFonts w:ascii="ArnoPro-Bold" w:hAnsi="ArnoPro-Bold" w:cs="ArnoPro-Bold"/>
          <w:b/>
          <w:bCs/>
          <w:sz w:val="36"/>
          <w:szCs w:val="36"/>
        </w:rPr>
        <w:t>Many homeowners face the threat and reality of foreclosure without ever attempting to secure professional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assistance. That’s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u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nfortunate, because a well-informed, licensed real estate professional such as a CDPE has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the tools needed to find solutions.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CDPEs can’t keep everybody in their homes or protect everybody from the credit impact of foreclosure.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But if either option is anywhere within reach, a CDPE is far better prepared than most to achieve one of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 xml:space="preserve"> </w:t>
      </w:r>
      <w:r w:rsidRPr="004E6DB6">
        <w:rPr>
          <w:rFonts w:ascii="ArnoPro-Bold" w:hAnsi="ArnoPro-Bold" w:cs="ArnoPro-Bold"/>
          <w:b/>
          <w:bCs/>
          <w:sz w:val="36"/>
          <w:szCs w:val="36"/>
        </w:rPr>
        <w:t>those ends.</w:t>
      </w:r>
    </w:p>
    <w:p w:rsidR="006030D5" w:rsidRPr="006030D5" w:rsidRDefault="004E6DB6" w:rsidP="006030D5">
      <w:pPr>
        <w:autoSpaceDE w:val="0"/>
        <w:autoSpaceDN w:val="0"/>
        <w:adjustRightInd w:val="0"/>
        <w:rPr>
          <w:rFonts w:ascii="ArnoPro-Bold" w:hAnsi="ArnoPro-Bold" w:cs="ArnoPro-Bold"/>
          <w:b/>
          <w:bCs/>
          <w:sz w:val="32"/>
          <w:szCs w:val="32"/>
        </w:rPr>
      </w:pPr>
      <w:r>
        <w:rPr>
          <w:rFonts w:ascii="ArnoPro-Bold" w:hAnsi="ArnoPro-Bold" w:cs="ArnoPro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7FD5" wp14:editId="1499C8AD">
                <wp:simplePos x="0" y="0"/>
                <wp:positionH relativeFrom="column">
                  <wp:posOffset>-200660</wp:posOffset>
                </wp:positionH>
                <wp:positionV relativeFrom="paragraph">
                  <wp:posOffset>183202</wp:posOffset>
                </wp:positionV>
                <wp:extent cx="6359525" cy="2005965"/>
                <wp:effectExtent l="0" t="0" r="2222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76" w:type="pct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17"/>
                              <w:gridCol w:w="4015"/>
                            </w:tblGrid>
                            <w:tr w:rsidR="006030D5" w:rsidTr="006030D5">
                              <w:trPr>
                                <w:trHeight w:val="3729"/>
                                <w:tblCellSpacing w:w="15" w:type="dxa"/>
                              </w:trPr>
                              <w:tc>
                                <w:tcPr>
                                  <w:tcW w:w="2492" w:type="dxa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3400" w:type="pct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5"/>
                                    <w:gridCol w:w="3357"/>
                                  </w:tblGrid>
                                  <w:tr w:rsidR="006030D5" w:rsidTr="006030D5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1800" w:type="dxa"/>
                                        <w:tcMar>
                                          <w:top w:w="75" w:type="dxa"/>
                                          <w:left w:w="75" w:type="dxa"/>
                                          <w:bottom w:w="75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:rsidR="006030D5" w:rsidRDefault="006030D5">
                                        <w:pPr>
                                          <w:spacing w:before="100" w:beforeAutospacing="1" w:after="100" w:afterAutospacing="1"/>
                                          <w:rPr>
                                            <w:rFonts w:ascii="Calibri" w:hAnsi="Calibri" w:cs="Calibr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75511C30" wp14:editId="43B35253">
                                              <wp:extent cx="927735" cy="1378585"/>
                                              <wp:effectExtent l="0" t="0" r="5715" b="0"/>
                                              <wp:docPr id="8" name="Picture 8" descr="Description: personal photo Cindy Campbell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Description: personal photo Cindy Campbell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27735" cy="13785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Mar>
                                          <w:top w:w="15" w:type="dxa"/>
                                          <w:left w:w="15" w:type="dxa"/>
                                          <w:bottom w:w="15" w:type="dxa"/>
                                          <w:right w:w="15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6030D5" w:rsidRDefault="006030D5">
                                        <w:pP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Theme="minorEastAsia" w:hAnsi="Arial" w:cs="Arial"/>
                                            <w:b/>
                                            <w:bCs/>
                                            <w:noProof/>
                                          </w:rPr>
                                          <w:t>Cindy Campbell</w:t>
                                        </w: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br/>
                                          <w:t>Associate Broker</w:t>
                                        </w:r>
                                      </w:p>
                                      <w:p w:rsidR="006030D5" w:rsidRDefault="006030D5">
                                        <w:pP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516A21C7" wp14:editId="6F9EB126">
                                              <wp:extent cx="737235" cy="231775"/>
                                              <wp:effectExtent l="0" t="0" r="5715" b="0"/>
                                              <wp:docPr id="7" name="Picture 7" descr="Description: REMAX name log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Description: REMAX name logo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37235" cy="2317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6030D5" w:rsidRDefault="006030D5">
                                        <w:pPr>
                                          <w:spacing w:before="40"/>
                                          <w:rPr>
                                            <w:rFonts w:ascii="Calibri" w:hAnsi="Calibri" w:cs="Calibri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>RE/MAX Alliance</w:t>
                                        </w: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br/>
                                          <w:t>900 S. Main St. Longmont CO 80501</w:t>
                                        </w:r>
                                      </w:p>
                                      <w:p w:rsidR="006030D5" w:rsidRDefault="006030D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>Office 303-327-6825</w:t>
                                        </w: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br/>
                                          <w:t>Cell 303-881-7413</w:t>
                                        </w: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hyperlink r:id="rId8" w:tgtFrame="_blank" w:history="1">
                                          <w:r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w:t>cindy@ColoradoWelcomeHome.com</w:t>
                                          </w:r>
                                        </w:hyperlink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br/>
                                          <w:t xml:space="preserve">Website </w:t>
                                        </w:r>
                                        <w:r>
                                          <w:rPr>
                                            <w:rFonts w:ascii="Arial" w:eastAsiaTheme="minorEastAsia" w:hAnsi="Arial" w:cs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hyperlink r:id="rId9" w:history="1">
                                          <w:r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w:t>www.ColoradoWelcomeHome.com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6030D5" w:rsidRDefault="006030D5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6030D5" w:rsidRDefault="006030D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0D5" w:rsidRDefault="0060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14.45pt;width:500.75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TRnQIAAMAFAAAOAAAAZHJzL2Uyb0RvYy54bWysVEtvGjEQvlfqf7B8bxa2kDSIJaKJqCpF&#10;SdSkytl4bbBqe1zbsEt/fcbehZA0l1TlsIw9n+fxzWN60RpNtsIHBbaiw5MBJcJyqJVdVfTnw+LT&#10;F0pCZLZmGqyo6E4EejH7+GHauIkoYQ26Fp6gERsmjavoOkY3KYrA18KwcAJOWFRK8IZFPPpVUXvW&#10;oHWji3IwOC0a8LXzwEUIeHvVKeks25dS8HgrZRCR6IpibDF/ff4u07eYTdlk5ZlbK96Hwf4hCsOU&#10;RacHU1csMrLx6i9TRnEPAWQ84WAKkFJxkXPAbIaDV9ncr5kTORckJ7gDTeH/meU32ztPVF3RkhLL&#10;DJboQbSRfIWWlImdxoUJgu4dwmKL11jl/X3Ay5R0K71J/5gOQT3yvDtwm4xxvDz9PD4fl2NKOOqw&#10;cuPz03GyUzw/dz7EbwIMSUJFPRYvc8q21yF20D0keQugVb1QWudDahhxqT3ZMiy1jjlINP4CpS1p&#10;MP7ybIAxcuMw7ehVdvICF/xqebC1WAzw18d6BEPj2ibfIvdZH2Piq+MlS3GnRcJo+0NI5DnT80bA&#10;jHNhD0FndEJJTO89D3v8c1TvedzlgS+yZ7Dx8NgoC76j6SXP9a89z7LDY0GP8k5ibJdt30dLqHfY&#10;Rh66MQyOLxSW+pqFeMc8zh1WBXdJvMWP1IClgl6iZA3+z1v3CY/jgFpKGpzjiobfG+YFJfq7xUE5&#10;H45GafDzYTQ+K/HgjzXLY43dmEvA/hni1nI8iwkf9V6UHswjrpx58ooqZjn6xjbai5ex2y64sriY&#10;zzMIR92xeG3vHU+mE72pkR/aR+Zd3+0RB+UG9hPPJq+avsOmlxbmmwhS5YlIBHes9sTjmsgz1a+0&#10;tIeOzxn1vHhnTwAAAP//AwBQSwMEFAAGAAgAAAAhAAW3zcLgAAAACgEAAA8AAABkcnMvZG93bnJl&#10;di54bWxMj01PwzAMhu9I/IfISNy2dB+q2lJ3QkNcOEwwJrhmjddWS5yqydby7wkndrPlR6+ft9xM&#10;1ogrDb5zjLCYJyCIa6c7bhAOn6+zDIQPirUyjgnhhzxsqvu7UhXajfxB131oRAxhXyiENoS+kNLX&#10;LVnl564njreTG6wKcR0aqQc1xnBr5DJJUmlVx/FDq3ratlSf9xeLkL3v3EF/v4yNafOwG/2Xf9ta&#10;xMeH6fkJRKAp/MPwpx/VoYpOR3dh7YVBmK0WaUQRllkOIgJ5msfhiLBarzOQVSlvK1S/AAAA//8D&#10;AFBLAQItABQABgAIAAAAIQC2gziS/gAAAOEBAAATAAAAAAAAAAAAAAAAAAAAAABbQ29udGVudF9U&#10;eXBlc10ueG1sUEsBAi0AFAAGAAgAAAAhADj9If/WAAAAlAEAAAsAAAAAAAAAAAAAAAAALwEAAF9y&#10;ZWxzLy5yZWxzUEsBAi0AFAAGAAgAAAAhAJR1JNGdAgAAwAUAAA4AAAAAAAAAAAAAAAAALgIAAGRy&#10;cy9lMm9Eb2MueG1sUEsBAi0AFAAGAAgAAAAhAAW3zcLgAAAACgEAAA8AAAAAAAAAAAAAAAAA9wQA&#10;AGRycy9kb3ducmV2LnhtbFBLBQYAAAAABAAEAPMAAAAEBgAAAAA=&#10;" fillcolor="white [3201]" strokecolor="red" strokeweight="1pt">
                <v:stroke linestyle="thickBetweenThin"/>
                <v:textbox>
                  <w:txbxContent>
                    <w:tbl>
                      <w:tblPr>
                        <w:tblW w:w="4676" w:type="pct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17"/>
                        <w:gridCol w:w="4015"/>
                      </w:tblGrid>
                      <w:tr w:rsidR="006030D5" w:rsidTr="006030D5">
                        <w:trPr>
                          <w:trHeight w:val="3729"/>
                          <w:tblCellSpacing w:w="15" w:type="dxa"/>
                        </w:trPr>
                        <w:tc>
                          <w:tcPr>
                            <w:tcW w:w="2492" w:type="dxa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tbl>
                            <w:tblPr>
                              <w:tblW w:w="3400" w:type="pct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3357"/>
                            </w:tblGrid>
                            <w:tr w:rsidR="006030D5" w:rsidTr="006030D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800" w:type="dxa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6030D5" w:rsidRDefault="006030D5">
                                  <w:pPr>
                                    <w:spacing w:before="100" w:beforeAutospacing="1" w:after="100" w:afterAutospacing="1"/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</w:rPr>
                                    <w:drawing>
                                      <wp:inline distT="0" distB="0" distL="0" distR="0" wp14:anchorId="75511C30" wp14:editId="43B35253">
                                        <wp:extent cx="927735" cy="1378585"/>
                                        <wp:effectExtent l="0" t="0" r="5715" b="0"/>
                                        <wp:docPr id="8" name="Picture 8" descr="Description: personal photo Cindy Campbe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personal photo Cindy Campbe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735" cy="1378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6030D5" w:rsidRDefault="006030D5">
                                  <w:pP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</w:rPr>
                                    <w:t>Cindy Campbell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  <w:t>Associate Broker</w:t>
                                  </w:r>
                                </w:p>
                                <w:p w:rsidR="006030D5" w:rsidRDefault="006030D5">
                                  <w:pP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6A21C7" wp14:editId="6F9EB126">
                                        <wp:extent cx="737235" cy="231775"/>
                                        <wp:effectExtent l="0" t="0" r="5715" b="0"/>
                                        <wp:docPr id="7" name="Picture 7" descr="Description: REMAX nam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escription: REMAX nam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7235" cy="23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030D5" w:rsidRDefault="006030D5">
                                  <w:pPr>
                                    <w:spacing w:before="40"/>
                                    <w:rPr>
                                      <w:rFonts w:ascii="Calibri" w:hAnsi="Calibri" w:cs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RE/MAX Alliance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  <w:t>900 S. Main St. Longmont CO 80501</w:t>
                                  </w:r>
                                </w:p>
                                <w:p w:rsidR="006030D5" w:rsidRDefault="006030D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Office 303-327-6825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  <w:t>Cell 303-881-7413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10" w:tgtFrame="_blank" w:history="1">
                                    <w:r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t>cindy@ColoradoWelcomeHome.com</w:t>
                                    </w:r>
                                  </w:hyperlink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br/>
                                    <w:t xml:space="preserve">Website 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1" w:history="1">
                                    <w:r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t>www.ColoradoWelcomeHome.com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6030D5" w:rsidRDefault="006030D5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6030D5" w:rsidRDefault="006030D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30D5" w:rsidRDefault="006030D5"/>
                  </w:txbxContent>
                </v:textbox>
              </v:shape>
            </w:pict>
          </mc:Fallback>
        </mc:AlternateContent>
      </w:r>
    </w:p>
    <w:p w:rsidR="006030D5" w:rsidRDefault="006030D5" w:rsidP="006030D5">
      <w:pPr>
        <w:rPr>
          <w:rFonts w:ascii="ArnoPro-Bold" w:hAnsi="ArnoPro-Bold" w:cs="ArnoPro-Bold"/>
          <w:b/>
          <w:bCs/>
          <w:sz w:val="32"/>
          <w:szCs w:val="32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4E6DB6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  <w:r w:rsidRPr="006030D5">
        <w:rPr>
          <w:rFonts w:ascii="ArnoPro-Bold" w:hAnsi="ArnoPro-Bold" w:cs="ArnoPro-Bol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178034B1" wp14:editId="2C722160">
            <wp:simplePos x="0" y="0"/>
            <wp:positionH relativeFrom="column">
              <wp:posOffset>3557270</wp:posOffset>
            </wp:positionH>
            <wp:positionV relativeFrom="paragraph">
              <wp:posOffset>10795</wp:posOffset>
            </wp:positionV>
            <wp:extent cx="1241425" cy="11372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leT-Bold" w:hAnsi="CastleT-Bold" w:cs="CastleT-Bold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7E1F6E7" wp14:editId="02C9AD13">
            <wp:simplePos x="0" y="0"/>
            <wp:positionH relativeFrom="column">
              <wp:posOffset>5116195</wp:posOffset>
            </wp:positionH>
            <wp:positionV relativeFrom="paragraph">
              <wp:posOffset>60647</wp:posOffset>
            </wp:positionV>
            <wp:extent cx="848360" cy="1091565"/>
            <wp:effectExtent l="0" t="38100" r="66040" b="514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balloon_logo 1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9616">
                      <a:off x="0" y="0"/>
                      <a:ext cx="8483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  <w:bookmarkStart w:id="0" w:name="_GoBack"/>
      <w:bookmarkEnd w:id="0"/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Default="006030D5" w:rsidP="006030D5">
      <w:pPr>
        <w:autoSpaceDE w:val="0"/>
        <w:autoSpaceDN w:val="0"/>
        <w:adjustRightInd w:val="0"/>
        <w:rPr>
          <w:rFonts w:ascii="CastleT-Bold" w:hAnsi="CastleT-Bold" w:cs="CastleT-Bold"/>
          <w:b/>
          <w:bCs/>
          <w:sz w:val="16"/>
          <w:szCs w:val="16"/>
        </w:rPr>
      </w:pPr>
    </w:p>
    <w:p w:rsidR="006030D5" w:rsidRPr="006030D5" w:rsidRDefault="006030D5" w:rsidP="006030D5">
      <w:pPr>
        <w:autoSpaceDE w:val="0"/>
        <w:autoSpaceDN w:val="0"/>
        <w:adjustRightInd w:val="0"/>
        <w:rPr>
          <w:sz w:val="16"/>
          <w:szCs w:val="16"/>
        </w:rPr>
      </w:pPr>
      <w:r w:rsidRPr="006030D5">
        <w:rPr>
          <w:rFonts w:ascii="CastleT-Bold" w:hAnsi="CastleT-Bold" w:cs="CastleT-Bold"/>
          <w:b/>
          <w:bCs/>
          <w:sz w:val="16"/>
          <w:szCs w:val="16"/>
        </w:rPr>
        <w:t>*No tax, legal or financial-planning guidance is offered. Clients are encouraged to obtain such guidance from qualified professionals.</w:t>
      </w:r>
      <w:r>
        <w:rPr>
          <w:rFonts w:ascii="CastleT-Bold" w:hAnsi="CastleT-Bold" w:cs="CastleT-Bold"/>
          <w:b/>
          <w:bCs/>
          <w:sz w:val="16"/>
          <w:szCs w:val="16"/>
        </w:rPr>
        <w:t xml:space="preserve">  </w:t>
      </w:r>
      <w:r w:rsidRPr="006030D5">
        <w:rPr>
          <w:rFonts w:ascii="CastleT-Bold" w:hAnsi="CastleT-Bold" w:cs="CastleT-Bold"/>
          <w:b/>
          <w:bCs/>
          <w:sz w:val="16"/>
          <w:szCs w:val="16"/>
        </w:rPr>
        <w:t>CDPE guidance is limited to market analysis, creation and execution of marketing strategies – and smooth navigation of lender</w:t>
      </w:r>
      <w:r>
        <w:rPr>
          <w:rFonts w:ascii="CastleT-Bold" w:hAnsi="CastleT-Bold" w:cs="CastleT-Bold"/>
          <w:b/>
          <w:bCs/>
          <w:sz w:val="16"/>
          <w:szCs w:val="16"/>
        </w:rPr>
        <w:t xml:space="preserve"> </w:t>
      </w:r>
      <w:r w:rsidRPr="006030D5">
        <w:rPr>
          <w:rFonts w:ascii="CastleT-Bold" w:hAnsi="CastleT-Bold" w:cs="CastleT-Bold"/>
          <w:b/>
          <w:bCs/>
          <w:sz w:val="16"/>
          <w:szCs w:val="16"/>
        </w:rPr>
        <w:t>documentation requirements</w:t>
      </w:r>
    </w:p>
    <w:sectPr w:rsidR="006030D5" w:rsidRPr="006030D5" w:rsidSect="0060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le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5"/>
    <w:rsid w:val="002050A9"/>
    <w:rsid w:val="004E6DB6"/>
    <w:rsid w:val="006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coloradowelcomeho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loradowelcomehome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cindy@coloradowelcomeho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welcomehom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Campbell</dc:creator>
  <cp:lastModifiedBy>Cindy Campbell</cp:lastModifiedBy>
  <cp:revision>1</cp:revision>
  <cp:lastPrinted>2011-05-12T18:38:00Z</cp:lastPrinted>
  <dcterms:created xsi:type="dcterms:W3CDTF">2011-05-12T18:16:00Z</dcterms:created>
  <dcterms:modified xsi:type="dcterms:W3CDTF">2011-05-12T18:39:00Z</dcterms:modified>
</cp:coreProperties>
</file>